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</w:rPr>
        <w:drawing>
          <wp:inline distB="0" distT="0" distL="114300" distR="114300">
            <wp:extent cx="504000" cy="4836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83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MINISTERO DELL’ISTRUZIONE, DELL’UNIVERSITÀ E DELLA RICERCA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UFFICIO SCOLASTICO REGIONALE PER IL LAZIO</w:t>
        <w:tab/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LICEO STATALE “DEMOCRITO”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CLASSICO e SCIENTIFICO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Viale Prassilla, 79 – 00124 Roma – telefono 06/50915581 – fax 06/5090861 - Distretto XXI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Cod. Fisc. 97040180586 – e-mail: RMPS65000Q@istruzione.it – indirizzo internet: www.liceodemocrito.edu.itCod. Mecc. RMPS65000Q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Succursali: Largo Theodor Herzl, 51 – 00124 Roma tel.06/50930478 fax 06/5090133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SCHEDA PER RENDICONTAZIONE TRIENNIO  2022-2025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Anno scolastico…………………………..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AREA SPORT E BENESSERE</w:t>
      </w:r>
    </w:p>
    <w:tbl>
      <w:tblPr>
        <w:tblStyle w:val="Table1"/>
        <w:tblW w:w="102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SEZIONE  1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del Progetto....................................................................................................................................................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Docente/i Referente/i.................................................................................................................................................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N.alunni o N. classi partecipanti..........................................................................................................................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 PFP .......................................................................................................................................................................</w:t>
            </w:r>
          </w:p>
          <w:tbl>
            <w:tblPr>
              <w:tblStyle w:val="Table2"/>
              <w:tblW w:w="997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988"/>
              <w:gridCol w:w="4991"/>
              <w:tblGridChange w:id="0">
                <w:tblGrid>
                  <w:gridCol w:w="4988"/>
                  <w:gridCol w:w="499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7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Tipologia di gara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N. premiazioni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9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B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D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PNRR DM 65/2023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PNRR DM 19/2024</w:t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right="14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AREA SPORT E BENESSERE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OBIETTIVI FORMATIVI PRIORITARI RAGGIUNTI,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Legge 107/2015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 7 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sviluppo delle competenze in materia di cittadinanza attiva  e democratica    attraverso    la    valorizzazione     sell'educazione interculturale e alla pace, il rispetto delle differenze e il dialogo tra  le  culture,  il  sostegno  dell'assunzione  di  responsabilità nonché della solidarietà e della  cura  dei  beni  comuni  e  della consapevolezza  dei  diritti  e  dei  doveri;   potenziamento   delle conoscenze  in  materia  giuridica  ed  economico-finanziaria  e   di educazione all'autoimprenditorialità.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hanging="142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 7 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Sviluppo di comportamenti responsabili ispirati alla conoscenza e al rispetto della legalità, della sostenibilità ambientale, dei beni paesaggistici, del patrimonio e delle attività culturali.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 7 g: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potenziamento  delle  discipline  motorie   e   sviluppo   di comportamenti ispirati a uno stile  di  vita  sano,  con  particolare riferimento all'alimentazione, all'educazione fisica e allo sport,  e attenzione  alla  tutela  del  diritto  allo  studio  degli  studenti praticanti attivita' sportiva agonistica;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 7 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valorizzazione della scuola intesa come comunità attiva, aperta al territorio e in grado di sviluppare e aumentare l’interazione con le famiglie e con la comunità locale, comprese le organizzazioni del terzo settore e le imprese.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 7  p: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valorizzazione di percorsi formativi individualizzati e coinvolgimento degli alunni e degli studenti;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426"/>
              </w:tabs>
              <w:spacing w:after="0" w:line="360" w:lineRule="auto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SEZIONE 2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426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TRAGUARDI FORMATIVI</w:t>
            </w:r>
          </w:p>
          <w:p w:rsidR="00000000" w:rsidDel="00000000" w:rsidP="00000000" w:rsidRDefault="00000000" w:rsidRPr="00000000" w14:paraId="0000003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Indicare il traguardo/i traguardi raggiunto/i</w:t>
            </w:r>
          </w:p>
          <w:p w:rsidR="00000000" w:rsidDel="00000000" w:rsidP="00000000" w:rsidRDefault="00000000" w:rsidRPr="00000000" w14:paraId="0000003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Consolidamento di una cultura motoria e sportiva quale costume di vita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Conoscenza e pratica di alcuni sport individuali e di squadra valorizzando le attitudini personali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della propria corporeità come manifestazione di una personalità equilibrata e stabile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Sperimentazione e comprensione del  valore del linguaggio del corpo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Conoscenza di aspetti relativi all’alimentazione, alla sicurezza in ambito sportivo e alla propria condizione fisica per un corretto e sano stile di vita.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Inclusione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Acquisizione di competenze trasversali di cittadinanza attiva: rispettare le regole e  possedere spirito di collaborazione,  creare relazioni positive, saper utilizzare le proprie risorse personali, assumere atteggiamenti responsabili.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Rinforzo dell'autostima attraverso la sperimentazione  delle proprie capacità operative.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426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Sviluppo delle capacità relazionali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426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Superamento di barriere psicologiche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426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Sviluppo  del senso di appartenenza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</w:tabs>
              <w:spacing w:after="0" w:before="0" w:line="360" w:lineRule="auto"/>
              <w:ind w:left="425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Promozione di rapporti di fiducia e di nuovi legami di comunità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</w:tabs>
              <w:spacing w:after="0" w:before="0" w:line="360" w:lineRule="auto"/>
              <w:ind w:left="42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284"/>
          <w:tab w:val="left" w:leader="none" w:pos="426"/>
        </w:tabs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  <w:tab w:val="left" w:leader="none" w:pos="426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                                                                                                                                      Firma</w:t>
      </w:r>
    </w:p>
    <w:sectPr>
      <w:headerReference r:id="rId7" w:type="default"/>
      <w:pgSz w:h="16838" w:w="11906" w:orient="portrait"/>
      <w:pgMar w:bottom="567" w:top="851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2"/>
      <w:jc w:val="both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